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0D" w:rsidRPr="00743C0D" w:rsidRDefault="00743C0D" w:rsidP="00743C0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43C0D">
        <w:rPr>
          <w:rFonts w:ascii="Arial" w:hAnsi="Arial" w:cs="Arial"/>
          <w:b/>
          <w:bCs/>
          <w:sz w:val="20"/>
          <w:szCs w:val="20"/>
        </w:rPr>
        <w:t>Objaśnienia przyjętych wartości do Wieloletniej Prognozy Finansowej Gminy Nozdrzec na lata 2026-2037</w:t>
      </w:r>
    </w:p>
    <w:p w:rsidR="00743C0D" w:rsidRPr="00743C0D" w:rsidRDefault="00743C0D" w:rsidP="00743C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43C0D">
        <w:rPr>
          <w:rFonts w:ascii="Arial" w:hAnsi="Arial" w:cs="Arial"/>
          <w:sz w:val="20"/>
          <w:szCs w:val="20"/>
        </w:rPr>
        <w:t>Zgodnie ze zmianami w budżecie na dzień 26 czerwca 2026 r., dokonano następujących zmian w Wieloletniej Prognozie Finansowej Gminy Nozdrzec:</w:t>
      </w:r>
    </w:p>
    <w:p w:rsidR="00743C0D" w:rsidRPr="00743C0D" w:rsidRDefault="00743C0D" w:rsidP="00743C0D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743C0D">
        <w:rPr>
          <w:rFonts w:ascii="Arial" w:hAnsi="Arial" w:cs="Arial"/>
          <w:sz w:val="20"/>
          <w:szCs w:val="20"/>
        </w:rPr>
        <w:t>Dochody ogółem zwiększono o 5 440 647,70 zł, z czego dochody bieżące zwiększono o 895 792,53 zł, a dochody majątkowe zwiększono o 4 544 855,17 zł.</w:t>
      </w:r>
    </w:p>
    <w:p w:rsidR="00743C0D" w:rsidRPr="00743C0D" w:rsidRDefault="00743C0D" w:rsidP="00743C0D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743C0D">
        <w:rPr>
          <w:rFonts w:ascii="Arial" w:hAnsi="Arial" w:cs="Arial"/>
          <w:sz w:val="20"/>
          <w:szCs w:val="20"/>
        </w:rPr>
        <w:t>Wydatki ogółem zwiększono o 7 949 671,26 zł, z czego wydatki bieżące zwiększono o 1 780 288,52 zł, a wydatki majątkowe zwiększono o 6 169 382,74 zł.</w:t>
      </w:r>
    </w:p>
    <w:p w:rsidR="00743C0D" w:rsidRPr="00743C0D" w:rsidRDefault="00743C0D" w:rsidP="00743C0D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743C0D">
        <w:rPr>
          <w:rFonts w:ascii="Arial" w:hAnsi="Arial" w:cs="Arial"/>
          <w:sz w:val="20"/>
          <w:szCs w:val="20"/>
        </w:rPr>
        <w:t>Wynik budżetu jest deficytowy i po zmianach wynosi -11 145 294,60 zł.</w:t>
      </w:r>
    </w:p>
    <w:p w:rsidR="00743C0D" w:rsidRPr="00743C0D" w:rsidRDefault="00743C0D" w:rsidP="00743C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43C0D">
        <w:rPr>
          <w:rFonts w:ascii="Arial" w:hAnsi="Arial" w:cs="Arial"/>
          <w:sz w:val="20"/>
          <w:szCs w:val="20"/>
        </w:rPr>
        <w:t>Szczegółowe informacje na temat zmian w zakresie dochodów, wydatków i wyniku budżetu w roku budżetowym przedstawiono w tabeli poniżej.</w:t>
      </w:r>
    </w:p>
    <w:p w:rsidR="00743C0D" w:rsidRPr="00743C0D" w:rsidRDefault="00743C0D" w:rsidP="00743C0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43C0D">
        <w:rPr>
          <w:rFonts w:ascii="Arial" w:hAnsi="Arial" w:cs="Arial"/>
          <w:b/>
          <w:bCs/>
          <w:sz w:val="20"/>
          <w:szCs w:val="20"/>
        </w:rPr>
        <w:t>Zmiany w dochodach i wydatkach w 2026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800"/>
      </w:tblGrid>
      <w:tr w:rsidR="00743C0D" w:rsidRPr="00743C0D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Po zmianie [zł]</w:t>
            </w:r>
          </w:p>
        </w:tc>
      </w:tr>
      <w:tr w:rsidR="00743C0D" w:rsidRPr="00743C0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Dochody ogółem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76 793 211,68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+5 440 647,70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82 233 859,38</w:t>
            </w:r>
          </w:p>
        </w:tc>
      </w:tr>
      <w:tr w:rsidR="00743C0D" w:rsidRPr="00743C0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Dochody bieżące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58 219 940,20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+895 792,53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59 115 732,73</w:t>
            </w:r>
          </w:p>
        </w:tc>
      </w:tr>
      <w:tr w:rsidR="00743C0D" w:rsidRPr="00743C0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Pozostałe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8 795 795,00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+895 792,53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9 691 587,53</w:t>
            </w:r>
          </w:p>
        </w:tc>
      </w:tr>
      <w:tr w:rsidR="00743C0D" w:rsidRPr="00743C0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Dochody majątkowe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18 573 271,48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+4 544 855,17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23 118 126,65</w:t>
            </w:r>
          </w:p>
        </w:tc>
      </w:tr>
      <w:tr w:rsidR="00743C0D" w:rsidRPr="00743C0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Sprzedaż majątku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+14 520,00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14 520,00</w:t>
            </w:r>
          </w:p>
        </w:tc>
      </w:tr>
      <w:tr w:rsidR="00743C0D" w:rsidRPr="00743C0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Wydatki ogółem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85 429 482,72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+7 949 671,26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93 379 153,98</w:t>
            </w:r>
          </w:p>
        </w:tc>
      </w:tr>
      <w:tr w:rsidR="00743C0D" w:rsidRPr="00743C0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Wydatki bieżące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57 166 902,88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+1 780 288,52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58 947 191,40</w:t>
            </w:r>
          </w:p>
        </w:tc>
      </w:tr>
      <w:tr w:rsidR="00743C0D" w:rsidRPr="00743C0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Obsługa długu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818 308,00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-118 840,00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699 468,00</w:t>
            </w:r>
          </w:p>
        </w:tc>
      </w:tr>
      <w:tr w:rsidR="00743C0D" w:rsidRPr="00743C0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Pozostałe wydatki bieżące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23 709 296,88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+1 899 128,52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25 608 425,40</w:t>
            </w:r>
          </w:p>
        </w:tc>
      </w:tr>
      <w:tr w:rsidR="00743C0D" w:rsidRPr="00743C0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Wydatki majątkowe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28 262 579,84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+6 169 382,74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34 431 962,58</w:t>
            </w:r>
          </w:p>
        </w:tc>
      </w:tr>
      <w:tr w:rsidR="00743C0D" w:rsidRPr="00743C0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Wynik budżetu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-8 636 271,04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-2 509 023,56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-11 145 294,60</w:t>
            </w:r>
          </w:p>
        </w:tc>
      </w:tr>
    </w:tbl>
    <w:p w:rsidR="00743C0D" w:rsidRPr="00743C0D" w:rsidRDefault="00743C0D" w:rsidP="00743C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743C0D">
        <w:rPr>
          <w:rFonts w:ascii="Arial" w:hAnsi="Arial" w:cs="Arial"/>
          <w:sz w:val="20"/>
          <w:szCs w:val="20"/>
        </w:rPr>
        <w:t>Źródło: opracowanie własne.</w:t>
      </w:r>
    </w:p>
    <w:p w:rsidR="00743C0D" w:rsidRPr="00743C0D" w:rsidRDefault="00743C0D" w:rsidP="00743C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43C0D">
        <w:rPr>
          <w:rFonts w:ascii="Arial" w:hAnsi="Arial" w:cs="Arial"/>
          <w:sz w:val="20"/>
          <w:szCs w:val="20"/>
        </w:rPr>
        <w:t>W Wieloletniej Prognozie Finansowej Gminy Nozdrzec:</w:t>
      </w:r>
    </w:p>
    <w:p w:rsidR="00743C0D" w:rsidRPr="00743C0D" w:rsidRDefault="00743C0D" w:rsidP="00743C0D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743C0D">
        <w:rPr>
          <w:rFonts w:ascii="Arial" w:hAnsi="Arial" w:cs="Arial"/>
          <w:sz w:val="20"/>
          <w:szCs w:val="20"/>
        </w:rPr>
        <w:t>Przychody ogółem w roku budżetowym zwiększono o 2 627 863,56 zł i po zmianach wynoszą 17 744 762,60 zł.</w:t>
      </w:r>
    </w:p>
    <w:p w:rsidR="00743C0D" w:rsidRPr="00743C0D" w:rsidRDefault="00743C0D" w:rsidP="00743C0D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743C0D">
        <w:rPr>
          <w:rFonts w:ascii="Arial" w:hAnsi="Arial" w:cs="Arial"/>
          <w:sz w:val="20"/>
          <w:szCs w:val="20"/>
        </w:rPr>
        <w:t>Rozchody ogółem w roku budżetowym nie uległy zmianie.</w:t>
      </w:r>
    </w:p>
    <w:p w:rsidR="00743C0D" w:rsidRPr="00743C0D" w:rsidRDefault="00743C0D" w:rsidP="00743C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43C0D">
        <w:rPr>
          <w:rFonts w:ascii="Arial" w:hAnsi="Arial" w:cs="Arial"/>
          <w:sz w:val="20"/>
          <w:szCs w:val="20"/>
        </w:rPr>
        <w:t>Szczegółowe informacje na temat zmian w zakresie przychodów i rozchodów w roku budżetowym przedstawiono w tabeli poniżej.</w:t>
      </w:r>
    </w:p>
    <w:p w:rsidR="00743C0D" w:rsidRPr="00743C0D" w:rsidRDefault="00743C0D" w:rsidP="00743C0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43C0D">
        <w:rPr>
          <w:rFonts w:ascii="Arial" w:hAnsi="Arial" w:cs="Arial"/>
          <w:b/>
          <w:bCs/>
          <w:sz w:val="20"/>
          <w:szCs w:val="20"/>
        </w:rPr>
        <w:t>Zmiany w przychodach i rozchodach na 2026 rok.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1800"/>
      </w:tblGrid>
      <w:tr w:rsidR="00743C0D" w:rsidRPr="00743C0D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Przed zmianą [zł]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Zmiana [zł]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Po zmianie [zł]</w:t>
            </w:r>
          </w:p>
        </w:tc>
      </w:tr>
      <w:tr w:rsidR="00743C0D" w:rsidRPr="00743C0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Przychody budżetu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15 116 899,04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+2 627 863,56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17 744 762,60</w:t>
            </w:r>
          </w:p>
        </w:tc>
      </w:tr>
      <w:tr w:rsidR="00743C0D" w:rsidRPr="00743C0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Wolne środki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+2 587 479,47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2 587 479,47</w:t>
            </w:r>
          </w:p>
        </w:tc>
      </w:tr>
      <w:tr w:rsidR="00743C0D" w:rsidRPr="00743C0D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Inne przychody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+40 384,09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40 384,09</w:t>
            </w:r>
          </w:p>
        </w:tc>
      </w:tr>
    </w:tbl>
    <w:p w:rsidR="00743C0D" w:rsidRPr="00743C0D" w:rsidRDefault="00743C0D" w:rsidP="00743C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743C0D">
        <w:rPr>
          <w:rFonts w:ascii="Arial" w:hAnsi="Arial" w:cs="Arial"/>
          <w:sz w:val="20"/>
          <w:szCs w:val="20"/>
        </w:rPr>
        <w:t>Źródło: opracowanie własne.</w:t>
      </w:r>
    </w:p>
    <w:p w:rsidR="00743C0D" w:rsidRPr="00743C0D" w:rsidRDefault="00743C0D" w:rsidP="00743C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43C0D">
        <w:rPr>
          <w:rFonts w:ascii="Arial" w:hAnsi="Arial" w:cs="Arial"/>
          <w:sz w:val="20"/>
          <w:szCs w:val="20"/>
        </w:rPr>
        <w:t>Od 2027 nie dokonywano zmian w zakresie planowanych przychodów.</w:t>
      </w:r>
    </w:p>
    <w:p w:rsidR="00743C0D" w:rsidRPr="00743C0D" w:rsidRDefault="00743C0D" w:rsidP="00743C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43C0D">
        <w:rPr>
          <w:rFonts w:ascii="Arial" w:hAnsi="Arial" w:cs="Arial"/>
          <w:sz w:val="20"/>
          <w:szCs w:val="20"/>
        </w:rPr>
        <w:t>Od 2027 nie dokonywano zmian w zakresie planowanych rozchodów.</w:t>
      </w:r>
    </w:p>
    <w:p w:rsidR="00743C0D" w:rsidRPr="00743C0D" w:rsidRDefault="00743C0D" w:rsidP="00743C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43C0D">
        <w:rPr>
          <w:rFonts w:ascii="Arial" w:hAnsi="Arial" w:cs="Arial"/>
          <w:sz w:val="20"/>
          <w:szCs w:val="20"/>
        </w:rPr>
        <w:lastRenderedPageBreak/>
        <w:t>Zmiany w Wieloletniej Prognozie Finansowej Gminy Nozdrzec na lata 2026-2037 spowodowały modyfikacje w kształtowaniu się relacji z art. 243 ustawy o finansach publicznych. Szczegóły zaprezentowano w tabeli poniżej.</w:t>
      </w:r>
    </w:p>
    <w:p w:rsidR="00743C0D" w:rsidRPr="00743C0D" w:rsidRDefault="00743C0D" w:rsidP="00743C0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43C0D">
        <w:rPr>
          <w:rFonts w:ascii="Arial" w:hAnsi="Arial" w:cs="Arial"/>
          <w:b/>
          <w:bCs/>
          <w:sz w:val="20"/>
          <w:szCs w:val="20"/>
        </w:rPr>
        <w:t>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 w:firstRow="0" w:lastRow="0" w:firstColumn="0" w:lastColumn="0" w:noHBand="0" w:noVBand="0"/>
      </w:tblPr>
      <w:tblGrid>
        <w:gridCol w:w="655"/>
        <w:gridCol w:w="1309"/>
        <w:gridCol w:w="1309"/>
        <w:gridCol w:w="1309"/>
        <w:gridCol w:w="1309"/>
        <w:gridCol w:w="1309"/>
      </w:tblGrid>
      <w:tr w:rsidR="00743C0D" w:rsidRPr="00743C0D">
        <w:trPr>
          <w:tblHeader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Obsługa zadłużenia (fakt. i plan. po </w:t>
            </w:r>
            <w:proofErr w:type="spellStart"/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wyłączeniach</w:t>
            </w:r>
            <w:proofErr w:type="spellEnd"/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Zachowanie relacji z art. 243 (w oparciu o plan po III kwartale)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Maksymalna obsługa zadłużenia (wg wykonania)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3C0D">
              <w:rPr>
                <w:rFonts w:ascii="Arial" w:hAnsi="Arial" w:cs="Arial"/>
                <w:b/>
                <w:bCs/>
                <w:sz w:val="20"/>
                <w:szCs w:val="20"/>
              </w:rPr>
              <w:t>Zachowanie relacji z art. 243 (w oparciu o wykonanie)</w:t>
            </w:r>
          </w:p>
        </w:tc>
      </w:tr>
      <w:tr w:rsidR="00743C0D" w:rsidRPr="00743C0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2,61%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9,87%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10,69%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743C0D" w:rsidRPr="00743C0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4,96%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8,44%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9,26%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743C0D" w:rsidRPr="00743C0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2028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4,72%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8,23%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9,05%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743C0D" w:rsidRPr="00743C0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2029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4,49%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7,38%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8,20%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743C0D" w:rsidRPr="00743C0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2030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4,27%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6,73%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7,56%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743C0D" w:rsidRPr="00743C0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2031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4,07%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6,23%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7,05%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743C0D" w:rsidRPr="00743C0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2032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3,88%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5,98%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6,80%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743C0D" w:rsidRPr="00743C0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2033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3,69%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5,53%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5,53%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743C0D" w:rsidRPr="00743C0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2034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2,27%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6,06%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6,06%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743C0D" w:rsidRPr="00743C0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2035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2,18%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5,91%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5,91%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743C0D" w:rsidRPr="00743C0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2036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2,06%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5,98%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5,98%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743C0D" w:rsidRPr="00743C0D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2037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2,46%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6,21%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6,21%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0D" w:rsidRPr="00743C0D" w:rsidRDefault="00743C0D" w:rsidP="00743C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3C0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</w:tbl>
    <w:p w:rsidR="00743C0D" w:rsidRPr="00743C0D" w:rsidRDefault="00743C0D" w:rsidP="00743C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743C0D">
        <w:rPr>
          <w:rFonts w:ascii="Arial" w:hAnsi="Arial" w:cs="Arial"/>
          <w:sz w:val="20"/>
          <w:szCs w:val="20"/>
        </w:rPr>
        <w:t>Źródło: Opracowanie własne.</w:t>
      </w:r>
    </w:p>
    <w:p w:rsidR="00743C0D" w:rsidRPr="00743C0D" w:rsidRDefault="00743C0D" w:rsidP="00743C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43C0D">
        <w:rPr>
          <w:rFonts w:ascii="Arial" w:hAnsi="Arial" w:cs="Arial"/>
          <w:sz w:val="20"/>
          <w:szCs w:val="20"/>
        </w:rPr>
        <w:t>Dane w tabeli powyżej wskazują, że w całym okresie prognozy Gmina Nozdrzec spełnia relację, o której mowa w art. 243 ust. 1 ustawy o finansach publicznych. Spełnienie dotyczy zarówno relacji obliczonej na podstawie planu na dzień 30.09.2025 r. jak i w oparciu o dane z wykonania budżetu.</w:t>
      </w:r>
    </w:p>
    <w:p w:rsidR="00743C0D" w:rsidRPr="00743C0D" w:rsidRDefault="00743C0D" w:rsidP="00743C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43C0D">
        <w:rPr>
          <w:rFonts w:ascii="Arial" w:hAnsi="Arial" w:cs="Arial"/>
          <w:sz w:val="20"/>
          <w:szCs w:val="20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:rsidR="00743C0D" w:rsidRPr="00743C0D" w:rsidRDefault="00743C0D" w:rsidP="00743C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43C0D">
        <w:rPr>
          <w:rFonts w:ascii="Arial" w:hAnsi="Arial" w:cs="Arial"/>
          <w:sz w:val="20"/>
          <w:szCs w:val="20"/>
        </w:rPr>
        <w:t>Pełen zakres zmian obrazuje załącznik nr 1 do niniejszej uchwały.</w:t>
      </w:r>
    </w:p>
    <w:p w:rsidR="00743C0D" w:rsidRPr="00743C0D" w:rsidRDefault="00743C0D" w:rsidP="00743C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43C0D" w:rsidRPr="00743C0D" w:rsidRDefault="00743C0D" w:rsidP="00743C0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43C0D" w:rsidRPr="00743C0D" w:rsidRDefault="00743C0D" w:rsidP="00743C0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43C0D" w:rsidRPr="00743C0D" w:rsidRDefault="00743C0D" w:rsidP="00743C0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43C0D" w:rsidRPr="00743C0D" w:rsidRDefault="00743C0D" w:rsidP="00743C0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43C0D" w:rsidRPr="00743C0D" w:rsidRDefault="00743C0D" w:rsidP="00743C0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43C0D" w:rsidRPr="00743C0D" w:rsidRDefault="00743C0D" w:rsidP="00743C0D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743C0D" w:rsidRPr="00743C0D" w:rsidRDefault="00743C0D" w:rsidP="00743C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9212D8" w:rsidRDefault="009212D8">
      <w:bookmarkStart w:id="0" w:name="_GoBack"/>
      <w:bookmarkEnd w:id="0"/>
    </w:p>
    <w:sectPr w:rsidR="009212D8" w:rsidSect="00465E34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D5"/>
    <w:rsid w:val="005A0AD5"/>
    <w:rsid w:val="00743C0D"/>
    <w:rsid w:val="0092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5DA2F-0A60-44FE-BE40-3AF1AD58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Publink">
    <w:name w:val="Tytuł (Publink)"/>
    <w:basedOn w:val="Normalny"/>
    <w:uiPriority w:val="99"/>
    <w:rsid w:val="00743C0D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ekstPublink">
    <w:name w:val="Tekst (Publink)"/>
    <w:basedOn w:val="Normalny"/>
    <w:uiPriority w:val="99"/>
    <w:rsid w:val="00743C0D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sz w:val="20"/>
      <w:szCs w:val="20"/>
    </w:rPr>
  </w:style>
  <w:style w:type="paragraph" w:customStyle="1" w:styleId="ListaPublink">
    <w:name w:val="Lista (Publink)"/>
    <w:basedOn w:val="TekstPublink"/>
    <w:uiPriority w:val="99"/>
    <w:rsid w:val="00743C0D"/>
    <w:pPr>
      <w:jc w:val="left"/>
    </w:pPr>
  </w:style>
  <w:style w:type="paragraph" w:customStyle="1" w:styleId="PodpistabeliPublink">
    <w:name w:val="Podpis tabeli (Publink)"/>
    <w:basedOn w:val="TekstPublink"/>
    <w:uiPriority w:val="99"/>
    <w:rsid w:val="00743C0D"/>
    <w:pPr>
      <w:spacing w:before="160" w:after="0"/>
      <w:jc w:val="left"/>
    </w:pPr>
    <w:rPr>
      <w:b/>
      <w:bCs/>
    </w:rPr>
  </w:style>
  <w:style w:type="paragraph" w:customStyle="1" w:styleId="NagwektabeliPublink">
    <w:name w:val="Nagłówek tabeli (Publink)"/>
    <w:basedOn w:val="TekstPublink"/>
    <w:uiPriority w:val="99"/>
    <w:rsid w:val="00743C0D"/>
    <w:pPr>
      <w:spacing w:after="0"/>
      <w:jc w:val="left"/>
    </w:pPr>
    <w:rPr>
      <w:b/>
      <w:bCs/>
    </w:rPr>
  </w:style>
  <w:style w:type="paragraph" w:customStyle="1" w:styleId="KomrkatabeliPublink">
    <w:name w:val="Komórka tabeli (Publink)"/>
    <w:basedOn w:val="TekstPublink"/>
    <w:uiPriority w:val="99"/>
    <w:rsid w:val="00743C0D"/>
    <w:pPr>
      <w:spacing w:after="0"/>
      <w:jc w:val="left"/>
    </w:pPr>
  </w:style>
  <w:style w:type="paragraph" w:customStyle="1" w:styleId="WyrnionakomrkatabeliPublink">
    <w:name w:val="Wyróżniona komórka tabeli (Publink)"/>
    <w:basedOn w:val="KomrkatabeliPublink"/>
    <w:uiPriority w:val="99"/>
    <w:rsid w:val="00743C0D"/>
    <w:rPr>
      <w:b/>
      <w:bCs/>
    </w:rPr>
  </w:style>
  <w:style w:type="paragraph" w:customStyle="1" w:styleId="Podpistabeli2Publink">
    <w:name w:val="Podpis tabeli 2 (Publink)"/>
    <w:basedOn w:val="TekstPublink"/>
    <w:uiPriority w:val="99"/>
    <w:rsid w:val="00743C0D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Pietrykowska</dc:creator>
  <cp:keywords/>
  <dc:description/>
  <cp:lastModifiedBy>Monika Pietrykowska</cp:lastModifiedBy>
  <cp:revision>2</cp:revision>
  <dcterms:created xsi:type="dcterms:W3CDTF">2026-06-11T12:34:00Z</dcterms:created>
  <dcterms:modified xsi:type="dcterms:W3CDTF">2026-06-11T12:34:00Z</dcterms:modified>
</cp:coreProperties>
</file>