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12" w:rsidRPr="00BC1612" w:rsidRDefault="00BC1612" w:rsidP="00BC1612">
      <w:pPr>
        <w:pStyle w:val="OrdinanceTitle"/>
        <w:jc w:val="right"/>
        <w:rPr>
          <w:i/>
        </w:rPr>
      </w:pPr>
      <w:r w:rsidRPr="00BC1612">
        <w:rPr>
          <w:i/>
        </w:rPr>
        <w:t xml:space="preserve">Projekt </w:t>
      </w:r>
    </w:p>
    <w:p w:rsidR="00354514" w:rsidRPr="00BC1612" w:rsidRDefault="00BC1612">
      <w:pPr>
        <w:pStyle w:val="OrdinanceTitle"/>
        <w:rPr>
          <w:b/>
          <w:caps/>
        </w:rPr>
      </w:pPr>
      <w:r w:rsidRPr="00BC1612">
        <w:rPr>
          <w:b/>
          <w:caps/>
        </w:rPr>
        <w:t>Uchwała Nr ../../2026</w:t>
      </w:r>
    </w:p>
    <w:p w:rsidR="00354514" w:rsidRPr="00BC1612" w:rsidRDefault="00BC1612">
      <w:pPr>
        <w:pStyle w:val="OrdinanceTitle"/>
        <w:rPr>
          <w:b/>
          <w:caps/>
        </w:rPr>
      </w:pPr>
      <w:r w:rsidRPr="00BC1612">
        <w:rPr>
          <w:b/>
          <w:caps/>
        </w:rPr>
        <w:t>Rady Gminy Nozdrzec</w:t>
      </w:r>
    </w:p>
    <w:p w:rsidR="00354514" w:rsidRPr="00BC1612" w:rsidRDefault="00BC1612">
      <w:pPr>
        <w:pStyle w:val="OrdinanceTitle"/>
        <w:rPr>
          <w:b/>
        </w:rPr>
      </w:pPr>
      <w:r w:rsidRPr="00BC1612">
        <w:rPr>
          <w:b/>
        </w:rPr>
        <w:t>z dnia 26 czerwca 2026 r.</w:t>
      </w:r>
    </w:p>
    <w:p w:rsidR="00354514" w:rsidRPr="00BC1612" w:rsidRDefault="00354514">
      <w:pPr>
        <w:pStyle w:val="OrdinanceTitle"/>
        <w:rPr>
          <w:b/>
        </w:rPr>
      </w:pPr>
    </w:p>
    <w:p w:rsidR="00354514" w:rsidRPr="00BC1612" w:rsidRDefault="00BC1612">
      <w:pPr>
        <w:pStyle w:val="OrdinanceTitle"/>
        <w:rPr>
          <w:b/>
        </w:rPr>
      </w:pPr>
      <w:r w:rsidRPr="00BC1612">
        <w:rPr>
          <w:b/>
        </w:rPr>
        <w:t xml:space="preserve">w sprawie zmian w budżecie </w:t>
      </w:r>
      <w:r w:rsidRPr="00BC1612">
        <w:rPr>
          <w:b/>
        </w:rPr>
        <w:t>na rok 2026</w:t>
      </w:r>
    </w:p>
    <w:p w:rsidR="00354514" w:rsidRPr="00BC1612" w:rsidRDefault="00BC1612">
      <w:pPr>
        <w:rPr>
          <w:b/>
        </w:rPr>
      </w:pPr>
      <w:r>
        <w:t xml:space="preserve">Na podstawie art. 18 ust. 2 pkt 4 i pkt 9 lit. d oraz lit. i, pkt 10 ustawy z dnia 8 marca 1990 r. o samorządzie gminnym </w:t>
      </w:r>
      <w:r>
        <w:t xml:space="preserve">(Dz. U. z 2026 r. poz. 662) oraz art. 211, 212, 214, 215, 222, 235, 236, 237, 242, 258, 264 ustawy z dnia 27 sierpnia 2009 r. o finansach publicznych (Dz. U. z 2025 r. poz. 1483 z </w:t>
      </w:r>
      <w:proofErr w:type="spellStart"/>
      <w:r>
        <w:t>późn</w:t>
      </w:r>
      <w:proofErr w:type="spellEnd"/>
      <w:r>
        <w:t xml:space="preserve">. zm.), </w:t>
      </w:r>
      <w:r w:rsidRPr="00BC1612">
        <w:rPr>
          <w:b/>
        </w:rPr>
        <w:t>uchwala się, co następuje:</w:t>
      </w:r>
    </w:p>
    <w:p w:rsidR="00354514" w:rsidRDefault="004765B6" w:rsidP="004765B6">
      <w:pPr>
        <w:pStyle w:val="ListParagraph"/>
      </w:pPr>
      <w:r w:rsidRPr="004765B6">
        <w:rPr>
          <w:b/>
        </w:rPr>
        <w:t>§</w:t>
      </w:r>
      <w:r w:rsidR="00BC1612" w:rsidRPr="004765B6">
        <w:rPr>
          <w:b/>
        </w:rPr>
        <w:t>1</w:t>
      </w:r>
      <w:r w:rsidRPr="004765B6">
        <w:rPr>
          <w:b/>
        </w:rPr>
        <w:t>.</w:t>
      </w:r>
      <w:r w:rsidR="00BC1612">
        <w:t xml:space="preserve"> </w:t>
      </w:r>
      <w:r>
        <w:t>Z</w:t>
      </w:r>
      <w:r>
        <w:t xml:space="preserve">większa się </w:t>
      </w:r>
      <w:r w:rsidR="00BC1612">
        <w:t xml:space="preserve">dochody </w:t>
      </w:r>
      <w:r w:rsidR="00BC1612">
        <w:t>o kwotę 740 000,00 zł</w:t>
      </w:r>
    </w:p>
    <w:tbl>
      <w:tblPr>
        <w:tblStyle w:val="EcoTablePublink"/>
        <w:tblW w:w="4809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630"/>
        <w:gridCol w:w="1046"/>
      </w:tblGrid>
      <w:tr w:rsidR="004765B6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Paragraf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Wyszczególnienie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Zmiana</w:t>
            </w:r>
          </w:p>
        </w:tc>
      </w:tr>
      <w:tr w:rsidR="004765B6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Różne rozliczenia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730 000,00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Różne rozliczenia finansowe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730 000,00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0970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 xml:space="preserve">Wpływy z różnych dochodów </w:t>
            </w:r>
            <w:r w:rsidRPr="00BC1612">
              <w:rPr>
                <w:i/>
                <w:sz w:val="18"/>
                <w:szCs w:val="18"/>
              </w:rPr>
              <w:t>(zwrot podatku VAT z lat ubiegłych)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730 000,00</w:t>
            </w:r>
          </w:p>
        </w:tc>
        <w:bookmarkStart w:id="0" w:name="_GoBack"/>
        <w:bookmarkEnd w:id="0"/>
      </w:tr>
      <w:tr w:rsidR="004765B6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10 000,00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ściekowa i ochrona wód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0830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Wpływy z usług</w:t>
            </w:r>
            <w:r>
              <w:rPr>
                <w:sz w:val="18"/>
                <w:szCs w:val="18"/>
              </w:rPr>
              <w:t xml:space="preserve"> </w:t>
            </w:r>
            <w:r w:rsidRPr="00BC1612">
              <w:rPr>
                <w:i/>
                <w:sz w:val="18"/>
                <w:szCs w:val="18"/>
              </w:rPr>
              <w:t>(wywóz nieczystości płynnych)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10 000,00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EcoFooterCa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Razem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EcoFooter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740 000,00</w:t>
            </w:r>
          </w:p>
        </w:tc>
      </w:tr>
    </w:tbl>
    <w:p w:rsidR="004765B6" w:rsidRPr="004765B6" w:rsidRDefault="004765B6" w:rsidP="00BC1612">
      <w:pPr>
        <w:pStyle w:val="ListParagraph"/>
        <w:rPr>
          <w:b/>
        </w:rPr>
      </w:pPr>
    </w:p>
    <w:p w:rsidR="00354514" w:rsidRDefault="004765B6" w:rsidP="004765B6">
      <w:pPr>
        <w:pStyle w:val="ListParagraph"/>
      </w:pPr>
      <w:r w:rsidRPr="004765B6">
        <w:rPr>
          <w:b/>
        </w:rPr>
        <w:t>§</w:t>
      </w:r>
      <w:r w:rsidR="00BC1612" w:rsidRPr="004765B6">
        <w:rPr>
          <w:b/>
        </w:rPr>
        <w:t>2</w:t>
      </w:r>
      <w:r w:rsidRPr="004765B6">
        <w:rPr>
          <w:b/>
        </w:rPr>
        <w:t>.</w:t>
      </w:r>
      <w:r w:rsidR="00BC1612">
        <w:t xml:space="preserve"> </w:t>
      </w:r>
      <w:r>
        <w:t>Z</w:t>
      </w:r>
      <w:r>
        <w:t xml:space="preserve">większa się </w:t>
      </w:r>
      <w:r w:rsidR="00BC1612">
        <w:t xml:space="preserve">wydatki </w:t>
      </w:r>
      <w:r w:rsidR="00BC1612">
        <w:t xml:space="preserve">o kwotę 740 000,00 zł </w:t>
      </w:r>
      <w:r>
        <w:t xml:space="preserve">w tym: </w:t>
      </w:r>
      <w:r w:rsidR="00BC1612">
        <w:t xml:space="preserve">wydatki bieżące </w:t>
      </w:r>
      <w:r>
        <w:t xml:space="preserve">o kwotę 590 000,00 zł, </w:t>
      </w:r>
      <w:r w:rsidR="00BC1612">
        <w:t xml:space="preserve">wydatki majątkowe </w:t>
      </w:r>
      <w:r w:rsidR="00BC1612">
        <w:t xml:space="preserve">o kwotę 150 000,00 zł </w:t>
      </w:r>
    </w:p>
    <w:tbl>
      <w:tblPr>
        <w:tblStyle w:val="EcoTablePublink"/>
        <w:tblW w:w="4809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624"/>
        <w:gridCol w:w="1052"/>
      </w:tblGrid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Paragraf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Wyszczególnienie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4765B6" w:rsidRDefault="004765B6" w:rsidP="00E82485">
            <w:pPr>
              <w:pStyle w:val="EcoHeading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Zmiana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mieszkaniowa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185 000,00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gruntami i nieruchomościami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185 000,00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4210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4260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energii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4270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remontowych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20 000,00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4300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60 000,00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4610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Koszty postępowania sądowego i prokuratorskiego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203 000,00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203 000,00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4170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Wynagrodzenia bezosobowe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3 000,00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4300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200 000,00</w:t>
            </w:r>
          </w:p>
        </w:tc>
      </w:tr>
      <w:tr w:rsidR="004765B6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150 000,00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75412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Ochotnicze straże pożarne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150 000,00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6230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Dotacja celowa z budżetu na finansowanie lub dofinansowanie kosztów realizacji inwestycji i zakupów inwestycyjnych jednostek nie zaliczanych</w:t>
            </w:r>
            <w:r w:rsidRPr="004765B6">
              <w:rPr>
                <w:sz w:val="18"/>
                <w:szCs w:val="18"/>
              </w:rPr>
              <w:t xml:space="preserve"> </w:t>
            </w:r>
            <w:r w:rsidRPr="004765B6">
              <w:rPr>
                <w:sz w:val="18"/>
                <w:szCs w:val="18"/>
              </w:rPr>
              <w:t>do sektora finansów publicznych</w:t>
            </w:r>
            <w:r>
              <w:rPr>
                <w:sz w:val="18"/>
                <w:szCs w:val="18"/>
              </w:rPr>
              <w:t xml:space="preserve"> (zakup samochody dla OSP Wesoła)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82 000,00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80101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Szkoły podstawowe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82 000,00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4260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energii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30 000,00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4300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52 000,00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95 000,00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Gospodarka ściekowa i ochrona wód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95 000,00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4210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materiałów i wyposażenia</w:t>
            </w:r>
            <w:r>
              <w:rPr>
                <w:sz w:val="18"/>
                <w:szCs w:val="18"/>
              </w:rPr>
              <w:t xml:space="preserve"> </w:t>
            </w:r>
            <w:r w:rsidRPr="00BC1612">
              <w:rPr>
                <w:i/>
                <w:sz w:val="18"/>
                <w:szCs w:val="18"/>
              </w:rPr>
              <w:t>(paliowo-</w:t>
            </w:r>
            <w:r w:rsidRPr="00BC1612">
              <w:rPr>
                <w:i/>
                <w:sz w:val="18"/>
                <w:szCs w:val="18"/>
              </w:rPr>
              <w:t>wywóz nieczystości płynnych)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15 000,00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4260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energii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70 000,00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4300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BC1612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pozostałych</w:t>
            </w:r>
            <w:r>
              <w:rPr>
                <w:sz w:val="18"/>
                <w:szCs w:val="18"/>
              </w:rPr>
              <w:t xml:space="preserve"> </w:t>
            </w:r>
            <w:r w:rsidRPr="00BC1612">
              <w:rPr>
                <w:i/>
                <w:sz w:val="18"/>
                <w:szCs w:val="18"/>
              </w:rPr>
              <w:t>(</w:t>
            </w:r>
            <w:r w:rsidRPr="00BC1612">
              <w:rPr>
                <w:i/>
                <w:sz w:val="18"/>
                <w:szCs w:val="18"/>
              </w:rPr>
              <w:t>wywóz nieczystości płynnych)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4360</w:t>
            </w:r>
          </w:p>
        </w:tc>
        <w:tc>
          <w:tcPr>
            <w:tcW w:w="3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Opłaty z tytułu zakupu usług telekomunikacyjnych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2 000,00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4430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3 000,00</w:t>
            </w:r>
          </w:p>
        </w:tc>
      </w:tr>
      <w:tr w:rsidR="00BC1612" w:rsidRPr="00BC1612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Kultura fizyczna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5B6" w:rsidRPr="00BC1612" w:rsidRDefault="004765B6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25 000,00</w:t>
            </w:r>
          </w:p>
        </w:tc>
      </w:tr>
      <w:tr w:rsidR="00BC1612" w:rsidRPr="00BC1612" w:rsidTr="006F5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92601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Description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Obiekty sportowe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BC1612" w:rsidRDefault="00BC1612" w:rsidP="00E82485">
            <w:pPr>
              <w:pStyle w:val="DefaultValueCell"/>
              <w:rPr>
                <w:b/>
                <w:sz w:val="18"/>
                <w:szCs w:val="18"/>
              </w:rPr>
            </w:pPr>
            <w:r w:rsidRPr="00BC1612">
              <w:rPr>
                <w:b/>
                <w:sz w:val="18"/>
                <w:szCs w:val="18"/>
              </w:rPr>
              <w:t>25 000,00</w:t>
            </w:r>
          </w:p>
        </w:tc>
      </w:tr>
      <w:tr w:rsidR="00BC1612" w:rsidRPr="004765B6" w:rsidTr="006F5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Key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4300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Descri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Default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25 000,00</w:t>
            </w:r>
          </w:p>
        </w:tc>
      </w:tr>
      <w:tr w:rsidR="00BC1612" w:rsidRPr="004765B6" w:rsidTr="00B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EcoFooterCaption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Razem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2" w:rsidRPr="004765B6" w:rsidRDefault="00BC1612" w:rsidP="00E82485">
            <w:pPr>
              <w:pStyle w:val="EcoFooterValueCell"/>
              <w:rPr>
                <w:sz w:val="18"/>
                <w:szCs w:val="18"/>
              </w:rPr>
            </w:pPr>
            <w:r w:rsidRPr="004765B6">
              <w:rPr>
                <w:sz w:val="18"/>
                <w:szCs w:val="18"/>
              </w:rPr>
              <w:t>590 000,00</w:t>
            </w:r>
          </w:p>
        </w:tc>
      </w:tr>
    </w:tbl>
    <w:p w:rsidR="004765B6" w:rsidRDefault="004765B6" w:rsidP="004765B6">
      <w:pPr>
        <w:pStyle w:val="ListParagraph"/>
      </w:pPr>
    </w:p>
    <w:p w:rsidR="00354514" w:rsidRDefault="004765B6">
      <w:r w:rsidRPr="004765B6">
        <w:rPr>
          <w:b/>
        </w:rPr>
        <w:t>§3</w:t>
      </w:r>
      <w:r w:rsidR="00BC1612" w:rsidRPr="004765B6">
        <w:rPr>
          <w:b/>
        </w:rPr>
        <w:t>.</w:t>
      </w:r>
      <w:r w:rsidR="00BC1612">
        <w:t xml:space="preserve"> Wykonanie uchwały powierza się Wójtowi Gminy Nozdrzec.</w:t>
      </w:r>
    </w:p>
    <w:p w:rsidR="00354514" w:rsidRPr="004765B6" w:rsidRDefault="00BC1612" w:rsidP="004765B6">
      <w:pPr>
        <w:pStyle w:val="Tytu"/>
        <w:jc w:val="both"/>
        <w:rPr>
          <w:b w:val="0"/>
          <w:sz w:val="22"/>
          <w:szCs w:val="22"/>
        </w:rPr>
      </w:pPr>
      <w:r w:rsidRPr="004765B6">
        <w:rPr>
          <w:sz w:val="22"/>
          <w:szCs w:val="22"/>
        </w:rPr>
        <w:t>§</w:t>
      </w:r>
      <w:r w:rsidR="004765B6" w:rsidRPr="004765B6">
        <w:rPr>
          <w:sz w:val="22"/>
          <w:szCs w:val="22"/>
        </w:rPr>
        <w:t>4</w:t>
      </w:r>
      <w:r w:rsidRPr="004765B6">
        <w:rPr>
          <w:sz w:val="22"/>
          <w:szCs w:val="22"/>
        </w:rPr>
        <w:t xml:space="preserve">. </w:t>
      </w:r>
      <w:r w:rsidRPr="004765B6">
        <w:rPr>
          <w:b w:val="0"/>
          <w:sz w:val="22"/>
          <w:szCs w:val="22"/>
        </w:rPr>
        <w:t>Uchwała wchodzi w życie z dniem podjęcia.</w:t>
      </w:r>
    </w:p>
    <w:p w:rsidR="004765B6" w:rsidRDefault="004765B6" w:rsidP="004765B6">
      <w:pPr>
        <w:pStyle w:val="Tytu"/>
        <w:jc w:val="both"/>
      </w:pPr>
    </w:p>
    <w:p w:rsidR="00354514" w:rsidRDefault="00354514"/>
    <w:sectPr w:rsidR="00354514" w:rsidSect="004765B6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8B0B9"/>
    <w:multiLevelType w:val="multilevel"/>
    <w:tmpl w:val="A19EC9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>
    <w:nsid w:val="42C3EDD8"/>
    <w:multiLevelType w:val="multilevel"/>
    <w:tmpl w:val="EDD0F6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4D03ED4B"/>
    <w:multiLevelType w:val="multilevel"/>
    <w:tmpl w:val="D68675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4E332CB6"/>
    <w:multiLevelType w:val="multilevel"/>
    <w:tmpl w:val="7A1CEAD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55FBA313"/>
    <w:multiLevelType w:val="multilevel"/>
    <w:tmpl w:val="549430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6B8F3191"/>
    <w:multiLevelType w:val="multilevel"/>
    <w:tmpl w:val="4E7EA3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4"/>
    <w:rsid w:val="00354514"/>
    <w:rsid w:val="004765B6"/>
    <w:rsid w:val="00B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786FF-A3C3-40CB-BFA2-4902B1F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0--49585691-432c-4af4-877a-677054471fee/app</dc:creator>
  <cp:lastModifiedBy>Monika Pietrykowska</cp:lastModifiedBy>
  <cp:revision>2</cp:revision>
  <dcterms:created xsi:type="dcterms:W3CDTF">2026-06-11T13:29:00Z</dcterms:created>
  <dcterms:modified xsi:type="dcterms:W3CDTF">2026-06-11T13:29:00Z</dcterms:modified>
</cp:coreProperties>
</file>